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</w:t>
      </w:r>
      <w:r>
        <w:rPr>
          <w:rFonts w:hint="eastAsia"/>
          <w:b/>
          <w:bCs/>
          <w:sz w:val="48"/>
          <w:szCs w:val="48"/>
          <w:lang w:val="en-US" w:eastAsia="zh-CN"/>
        </w:rPr>
        <w:tab/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ECL化学发光底物试剂盒（超敏）</w:t>
      </w:r>
    </w:p>
    <w:p>
      <w:pPr>
        <w:spacing w:beforeLines="0" w:after="75" w:afterLines="0" w:line="225" w:lineRule="atLeast"/>
        <w:ind w:right="225"/>
        <w:jc w:val="left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397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05" w:type="dxa"/>
          </w:tcPr>
          <w:p>
            <w:pPr>
              <w:spacing w:beforeLines="0" w:after="75" w:afterLines="0" w:line="225" w:lineRule="atLeast"/>
              <w:ind w:right="225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产品编号</w:t>
            </w:r>
          </w:p>
        </w:tc>
        <w:tc>
          <w:tcPr>
            <w:tcW w:w="3975" w:type="dxa"/>
          </w:tcPr>
          <w:p>
            <w:pPr>
              <w:spacing w:beforeLines="0" w:after="75" w:afterLines="0" w:line="225" w:lineRule="atLeast"/>
              <w:ind w:right="225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442" w:type="dxa"/>
          </w:tcPr>
          <w:p>
            <w:pPr>
              <w:spacing w:beforeLines="0" w:after="75" w:afterLines="0" w:line="225" w:lineRule="atLeast"/>
              <w:ind w:right="225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spacing w:beforeLines="0" w:after="75" w:afterLines="0" w:line="225" w:lineRule="atLeast"/>
              <w:ind w:right="225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RC52314</w:t>
            </w:r>
          </w:p>
        </w:tc>
        <w:tc>
          <w:tcPr>
            <w:tcW w:w="3975" w:type="dxa"/>
          </w:tcPr>
          <w:p>
            <w:pPr>
              <w:spacing w:beforeLines="0" w:after="75" w:afterLines="0" w:line="225" w:lineRule="atLeast"/>
              <w:ind w:right="225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ECL化学发光底物试剂盒（超敏）</w:t>
            </w:r>
          </w:p>
        </w:tc>
        <w:tc>
          <w:tcPr>
            <w:tcW w:w="2442" w:type="dxa"/>
          </w:tcPr>
          <w:p>
            <w:pPr>
              <w:spacing w:beforeLines="0" w:after="75" w:afterLines="0" w:line="225" w:lineRule="atLeast"/>
              <w:ind w:right="225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100ml</w:t>
            </w:r>
          </w:p>
        </w:tc>
      </w:tr>
    </w:tbl>
    <w:p>
      <w:pPr>
        <w:spacing w:beforeLines="0" w:after="75" w:afterLines="0" w:line="225" w:lineRule="atLeast"/>
        <w:ind w:right="225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spacing w:beforeLines="0" w:after="75" w:afterLines="0" w:line="225" w:lineRule="atLeast"/>
        <w:ind w:right="225"/>
        <w:jc w:val="both"/>
        <w:rPr>
          <w:rFonts w:hint="eastAsia" w:ascii="宋体" w:hAnsi="宋体" w:eastAsia="宋体" w:cs="宋体"/>
          <w:b/>
          <w:bCs w:val="0"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vertAlign w:val="baseline"/>
          <w:lang w:val="en-US" w:eastAsia="zh-CN"/>
        </w:rPr>
        <w:t>产品简介：</w:t>
      </w:r>
    </w:p>
    <w:p>
      <w:pPr>
        <w:spacing w:beforeLines="0" w:after="75" w:afterLines="0" w:line="225" w:lineRule="atLeast"/>
        <w:ind w:right="225" w:firstLine="480" w:firstLineChars="200"/>
        <w:jc w:val="both"/>
        <w:rPr>
          <w:rFonts w:hint="eastAsia" w:ascii="宋体" w:hAnsi="宋体" w:eastAsia="宋体" w:cs="宋体"/>
          <w:b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ECL超敏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发光液用于检测直接或间接标记辣根过氧化物酶HRP的抗体及其关联的抗原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vertAlign w:val="baseline"/>
          <w:lang w:val="en-US" w:eastAsia="zh-CN"/>
        </w:rPr>
        <w:t>。</w:t>
      </w:r>
    </w:p>
    <w:p>
      <w:pPr>
        <w:ind w:firstLine="720" w:firstLineChars="3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产品组份：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3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10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3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增强型发光液 A液</w:t>
            </w:r>
          </w:p>
        </w:tc>
        <w:tc>
          <w:tcPr>
            <w:tcW w:w="310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3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稳定剂 B液</w:t>
            </w:r>
          </w:p>
        </w:tc>
        <w:tc>
          <w:tcPr>
            <w:tcW w:w="310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ml</w:t>
            </w:r>
          </w:p>
        </w:tc>
      </w:tr>
    </w:tbl>
    <w:p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用途：</w:t>
      </w:r>
    </w:p>
    <w:p>
      <w:pPr>
        <w:spacing w:beforeLines="0" w:after="75" w:afterLines="0" w:line="225" w:lineRule="atLeast"/>
        <w:ind w:right="225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用于HRP标记抗体的WesternBlot和HRP标记探针的核酸杂交。</w:t>
      </w:r>
    </w:p>
    <w:p>
      <w:pPr>
        <w:spacing w:beforeLines="0" w:after="75" w:afterLines="0" w:line="225" w:lineRule="atLeast"/>
        <w:ind w:right="225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</w:p>
    <w:p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1"/>
        </w:numPr>
        <w:spacing w:beforeLines="0" w:after="75" w:afterLines="0" w:line="225" w:lineRule="atLeast"/>
        <w:ind w:right="225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灵敏度高:可检测低皮克级的蛋白:</w:t>
      </w:r>
    </w:p>
    <w:p>
      <w:pPr>
        <w:numPr>
          <w:ilvl w:val="0"/>
          <w:numId w:val="1"/>
        </w:numPr>
        <w:spacing w:beforeLines="0" w:after="75" w:afterLines="0" w:line="225" w:lineRule="atLeast"/>
        <w:ind w:left="0" w:leftChars="0" w:right="225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信号持续时间长:光信号持续时间长达5小时:</w:t>
      </w:r>
    </w:p>
    <w:p>
      <w:pPr>
        <w:numPr>
          <w:ilvl w:val="0"/>
          <w:numId w:val="1"/>
        </w:numPr>
        <w:spacing w:beforeLines="0" w:after="75" w:afterLines="0" w:line="225" w:lineRule="atLeast"/>
        <w:ind w:left="0" w:leftChars="0" w:right="225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稳定试剂:工作液在24小时内保持稳定:</w:t>
      </w:r>
    </w:p>
    <w:p>
      <w:pPr>
        <w:numPr>
          <w:ilvl w:val="0"/>
          <w:numId w:val="1"/>
        </w:numPr>
        <w:spacing w:beforeLines="0" w:after="75" w:afterLines="0" w:line="225" w:lineRule="atLeast"/>
        <w:ind w:left="0" w:leftChars="0" w:right="225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成像方法:适用于X射线胶片、CCD或激光凝胶成像仪:</w:t>
      </w:r>
    </w:p>
    <w:p>
      <w:pPr>
        <w:numPr>
          <w:ilvl w:val="0"/>
          <w:numId w:val="1"/>
        </w:numPr>
        <w:spacing w:beforeLines="0" w:after="75" w:afterLines="0" w:line="225" w:lineRule="atLeast"/>
        <w:ind w:left="0" w:leftChars="0" w:right="225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价格经济:针对稀释的抗体浓度条件进行了优化，节省抗体:</w:t>
      </w:r>
    </w:p>
    <w:p>
      <w:pPr>
        <w:numPr>
          <w:ilvl w:val="0"/>
          <w:numId w:val="0"/>
        </w:numPr>
        <w:spacing w:beforeLines="0" w:after="75" w:afterLines="0" w:line="225" w:lineRule="atLeast"/>
        <w:ind w:leftChars="200" w:right="225" w:righ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一抗: 以1ug/mL储存液稀释1:1000至1:4000倍</w:t>
      </w:r>
    </w:p>
    <w:p>
      <w:pPr>
        <w:numPr>
          <w:ilvl w:val="0"/>
          <w:numId w:val="0"/>
        </w:numPr>
        <w:spacing w:beforeLines="0" w:after="75" w:afterLines="0" w:line="225" w:lineRule="atLeast"/>
        <w:ind w:leftChars="200" w:right="225" w:righ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二抗: 以1ug/mL储存液稀释1:2000至1:5000倍</w:t>
      </w:r>
    </w:p>
    <w:p>
      <w:pPr>
        <w:numPr>
          <w:ilvl w:val="0"/>
          <w:numId w:val="1"/>
        </w:numPr>
        <w:spacing w:beforeLines="0" w:after="75" w:afterLines="0" w:line="225" w:lineRule="atLeast"/>
        <w:ind w:left="0" w:leftChars="0" w:right="225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简单易用:可替代其它公司的ECL发光旺物底物，操作步骤无需进行特别优化:</w:t>
      </w:r>
    </w:p>
    <w:p>
      <w:pPr>
        <w:widowControl w:val="0"/>
        <w:numPr>
          <w:ilvl w:val="0"/>
          <w:numId w:val="0"/>
        </w:numPr>
        <w:spacing w:beforeLines="0" w:after="75" w:afterLines="0" w:line="225" w:lineRule="atLeast"/>
        <w:ind w:right="225" w:righ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使用方法：</w:t>
      </w: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执行常规SDS-PAGE、转膜和WesternBlot步骤。注意用HRP标记IgG或用一抗-链亲和素-生物素-HRP夹法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WesternBlot最后一次洗膜的同时新鲜配制发光工作液:分别取等体积的溶液A和B，放入干净容器中混合。建议立即使用工作液，室温放置数小时后仍可使用但灵敏度略有降低。</w:t>
      </w:r>
    </w:p>
    <w:p>
      <w:pPr>
        <w:widowControl w:val="0"/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镊子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取出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膜，搭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滤纸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沥干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洗液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但勿使膜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完全干燥。将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完全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浸入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发光工作液(0.12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mL发光工作液/c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m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)中，与发光工作液充分接触。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室温孵育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3分钟，准备立即压片曝光。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孵育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时间过长不会增加灵敏度，有时还会导致曝光条带异常，发光过程的本质是酶促反应，使用过少的发光工作液不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利于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反应进行，也会导致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上条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带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曝光不均和明显降低灵敏度。为达节约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目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的可将膜剪小但勿降低发光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液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用量。</w:t>
      </w:r>
    </w:p>
    <w:p>
      <w:pPr>
        <w:widowControl w:val="0"/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用镊子夹起膜，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在滤纸上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沥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干发光工作液。但勿洗去发光液。</w:t>
      </w:r>
    </w:p>
    <w:p>
      <w:pPr>
        <w:widowControl w:val="0"/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打开X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胶片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暗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盒，在暗盒内表面铺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一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张面积大于腹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的保鲜膜，将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WesternBlot膜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贴在保鲜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上，将保鲜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折起来完全包毫WesterB1ol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t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膜，去除气泡和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褶皱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，可剪去边缘部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余的保鲜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，用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滤纸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吸去多余的发光工作液。用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胶带将膜覆盖WesternBlot膜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的保鲜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固定在暗盒内，蛋白带面向上。</w:t>
      </w:r>
    </w:p>
    <w:p>
      <w:pPr>
        <w:widowControl w:val="0"/>
        <w:numPr>
          <w:ilvl w:val="0"/>
          <w:numId w:val="2"/>
        </w:numPr>
        <w:spacing w:line="360" w:lineRule="auto"/>
        <w:ind w:left="4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暗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房内压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X光胶片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，分崩曝光不同的时间，如数秒到数分钟。显影冲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洗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。建议第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一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次曝光6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0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秒，之后可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调节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曝光时间以达到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最佳结果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。化学发光反应在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底物孵育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后的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前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-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min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期间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是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强烈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的。这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一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反应可以持续几个小时，但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强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随时间下降，如有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底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孵育后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较长时间后曝光，曝光时间可能需要延长以获得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较强信号。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</w:p>
    <w:p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注意事项：</w:t>
      </w:r>
    </w:p>
    <w:p>
      <w:pPr>
        <w:widowControl w:val="0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1步骤1~5可在日光灯下操作:但发光液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曝光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于强光下时间过久灵敏度可能略有降低，移到暗房操作可避免之。</w:t>
      </w:r>
    </w:p>
    <w:p>
      <w:pPr>
        <w:widowControl w:val="0"/>
        <w:numPr>
          <w:ilvl w:val="0"/>
          <w:numId w:val="3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长时间曝光或蛋白过量，将加深背景并使条带强弱变化失去线性关系。曝光不足则条带模糊。</w:t>
      </w:r>
    </w:p>
    <w:p>
      <w:pPr>
        <w:widowControl w:val="0"/>
        <w:numPr>
          <w:ilvl w:val="0"/>
          <w:numId w:val="3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发光工作液孵育约3分钟后膜上的条带发光。强条带发光在暗房中肉眼可见，低丰度蛋白条带发光较弱甚至肉眼不可见但可使x光胶片曝光。肉眼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="718" w:leftChars="342" w:firstLine="0" w:firstLine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不可见的荧光实际上可持续数小时并使X光胶片感光，因而弱带可曝光1-10小时。如果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曝光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后条带不佳，可用洗膜缓冲液洗膜，重新孵育二抗，然后重新用ECL发光和曝光。</w:t>
      </w:r>
    </w:p>
    <w:p>
      <w:pPr>
        <w:widowControl w:val="0"/>
        <w:numPr>
          <w:ilvl w:val="0"/>
          <w:numId w:val="3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由于超敏发光液极其灵敏，建议按照推荐比例稀释抗体。抗体浓度过高将造成高背景或没有条带，导致失败。</w:t>
      </w:r>
    </w:p>
    <w:p>
      <w:pPr>
        <w:widowControl w:val="0"/>
        <w:numPr>
          <w:ilvl w:val="0"/>
          <w:numId w:val="3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某些保鲜膜包裹印迹膜时可能会淬灭荧光，应选择高质量保鲜膜。</w:t>
      </w:r>
    </w:p>
    <w:p>
      <w:pPr>
        <w:widowControl w:val="0"/>
        <w:numPr>
          <w:ilvl w:val="0"/>
          <w:numId w:val="3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使用肉眼可见的预染色蛋白Marker和荧光放射自显影曝光标签可精确确定胶片上条带的位置和大小。</w:t>
      </w:r>
    </w:p>
    <w:p>
      <w:pPr>
        <w:widowControl w:val="0"/>
        <w:numPr>
          <w:ilvl w:val="0"/>
          <w:numId w:val="3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叠氮钠是HRP的抑制物，不要使用叠氮钠作为缓冲液的防腐剂。</w:t>
      </w:r>
    </w:p>
    <w:p>
      <w:pPr>
        <w:spacing w:line="360" w:lineRule="auto"/>
        <w:ind w:firstLine="632" w:firstLineChars="300"/>
        <w:jc w:val="both"/>
        <w:rPr>
          <w:rFonts w:hint="eastAsia"/>
          <w:b/>
          <w:sz w:val="21"/>
          <w:szCs w:val="21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4956175</wp:posOffset>
            </wp:positionH>
            <wp:positionV relativeFrom="paragraph">
              <wp:posOffset>6815455</wp:posOffset>
            </wp:positionV>
            <wp:extent cx="1485265" cy="1485265"/>
            <wp:effectExtent l="0" t="0" r="635" b="635"/>
            <wp:wrapNone/>
            <wp:docPr id="5" name="图片 5" descr="上海联硕质检专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上海联硕质检专用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保存条件：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vertAlign w:val="baseline"/>
          <w:lang w:val="en-US" w:eastAsia="zh-CN"/>
        </w:rPr>
        <w:t>室温运输，4℃密封避光保存一年以上，短期可放置室温。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7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3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13469"/>
    <w:multiLevelType w:val="singleLevel"/>
    <w:tmpl w:val="8AC1346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4DCA603"/>
    <w:multiLevelType w:val="singleLevel"/>
    <w:tmpl w:val="D4DCA603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2">
    <w:nsid w:val="5D92D5F6"/>
    <w:multiLevelType w:val="singleLevel"/>
    <w:tmpl w:val="5D92D5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6CB4820"/>
    <w:rsid w:val="0B672210"/>
    <w:rsid w:val="23063FD0"/>
    <w:rsid w:val="30E37952"/>
    <w:rsid w:val="341D3309"/>
    <w:rsid w:val="36580C23"/>
    <w:rsid w:val="3FA2017A"/>
    <w:rsid w:val="40CB5042"/>
    <w:rsid w:val="422246BE"/>
    <w:rsid w:val="42575A85"/>
    <w:rsid w:val="47B249E5"/>
    <w:rsid w:val="484B3FBA"/>
    <w:rsid w:val="494C26AA"/>
    <w:rsid w:val="52FD4FFB"/>
    <w:rsid w:val="591671FE"/>
    <w:rsid w:val="60427CA5"/>
    <w:rsid w:val="62491C2A"/>
    <w:rsid w:val="62B862D3"/>
    <w:rsid w:val="63C8588C"/>
    <w:rsid w:val="69566324"/>
    <w:rsid w:val="6DAC09E1"/>
    <w:rsid w:val="6DCA5D9A"/>
    <w:rsid w:val="7277575C"/>
    <w:rsid w:val="790F707F"/>
    <w:rsid w:val="7A034073"/>
    <w:rsid w:val="7B833EF7"/>
    <w:rsid w:val="7CFD4FB5"/>
    <w:rsid w:val="7E2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op_dict3_font24"/>
    <w:basedOn w:val="6"/>
    <w:unhideWhenUsed/>
    <w:qFormat/>
    <w:uiPriority w:val="0"/>
    <w:rPr>
      <w:rFonts w:hint="default"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2019-01-07T08:40:00Z</cp:lastPrinted>
  <dcterms:modified xsi:type="dcterms:W3CDTF">2020-09-27T08:34:05Z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